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0"/>
        </w:rPr>
        <w:t>BÀI TẬP 04B</w:t>
      </w:r>
    </w:p>
    <w:p>
      <w:pPr>
        <w:jc w:val="center"/>
      </w:pPr>
      <w:r>
        <w:rPr>
          <w:i/>
          <w:sz w:val="24"/>
        </w:rPr>
        <w:t>Bài tập bám theo Bài 4: Tạo và quản lý tham chiếu (tiết 37–40) của phân phối chương trình MOS Word 10.</w:t>
      </w:r>
    </w:p>
    <w:p>
      <w:r>
        <w:t>Yêu cầu: Học sinh tạo thư mục Lop_HoTen tại ổ Z:\ để lưu bài tập. Số tiết tương ứng trong phân phối chương trình được ghi ở cuối mỗi câu.</w:t>
      </w:r>
    </w:p>
    <w:p/>
    <w:p>
      <w:pPr>
        <w:spacing w:after="120"/>
      </w:pPr>
      <w:r>
        <w:t>1. Mở tệp Data_Baithuchanh_04B.docx. Chèn Footnote cho cụm từ “xác thực hai yếu tố” với nội dung: “Hình thức đăng nhập cần thêm một mã xác nhận ngoài mật khẩu.” (Tiết 37)</w:t>
      </w:r>
    </w:p>
    <w:p>
      <w:pPr>
        <w:spacing w:after="120"/>
      </w:pPr>
      <w:r>
        <w:t>2. Chèn Footnote thứ hai cho cụm từ “bảng hỏi trực tuyến” với nội dung: “Bảng hỏi được tạo bằng biểu mẫu trực tuyến, thu thập ẩn danh.” (Tiết 37)</w:t>
      </w:r>
    </w:p>
    <w:p>
      <w:pPr>
        <w:spacing w:after="120"/>
      </w:pPr>
      <w:r>
        <w:t>3. Chèn Endnote ở cụm từ “Trung tâm Ứng cứu khẩn cấp không gian mạng Việt Nam” ghi nguồn tài liệu tham khảo của nhóm. (Tiết 38)</w:t>
      </w:r>
    </w:p>
    <w:p>
      <w:pPr>
        <w:spacing w:after="120"/>
      </w:pPr>
      <w:r>
        <w:t>4. Mở hộp thoại Footnote and Endnote: đổi định dạng số của Footnote sang kiểu a, b, c và đặt Endnote ở cuối tài liệu (End of document). (Tiết 38)</w:t>
      </w:r>
    </w:p>
    <w:p>
      <w:pPr>
        <w:spacing w:after="120"/>
      </w:pPr>
      <w:r>
        <w:t>5. Dùng Next Footnote để di chuyển lần lượt qua các chú thích, sau đó xóa Footnote thứ hai và quan sát số thứ tự tự cập nhật. (Tiết 38)</w:t>
      </w:r>
    </w:p>
    <w:p>
      <w:pPr>
        <w:spacing w:after="120"/>
      </w:pPr>
      <w:r>
        <w:t>6. Định dạng bốn tiêu đề mục (1. Đặt vấn đề, 2. Phương pháp thực hiện, 3. Kết quả khảo sát, 4. Đề xuất) theo kiểu Heading 1. (Tiết 39)</w:t>
      </w:r>
    </w:p>
    <w:p>
      <w:pPr>
        <w:spacing w:after="120"/>
      </w:pPr>
      <w:r>
        <w:t>7. Chèn một trang trống ở đầu tài liệu và tạo Table of Contents tự động theo kiểu Automatic Table 1. (Tiết 39)</w:t>
      </w:r>
    </w:p>
    <w:p>
      <w:pPr>
        <w:spacing w:after="120"/>
      </w:pPr>
      <w:r>
        <w:t>8. Thêm mục “5. Kết luận” ở cuối tài liệu (định dạng Heading 1) rồi cập nhật mục lục bằng Update Table → Update entire table. (Tiết 40)</w:t>
      </w:r>
    </w:p>
    <w:p>
      <w:pPr>
        <w:spacing w:after="120"/>
      </w:pPr>
      <w:r>
        <w:t>9. Tùy chỉnh mục lục: chỉ hiển thị 2 cấp (Show levels: 2), dùng ký tự dẫn (Tab leader) là dấu chấm. (Tiết 40)</w:t>
      </w:r>
    </w:p>
    <w:p>
      <w:pPr>
        <w:spacing w:after="120"/>
      </w:pPr>
      <w:r>
        <w:t>10. Lưu văn bản với tên Baithuchanh_04B.docx, xuất bản thành Baithuchanh_04B.pdf và đối chiếu với Baithuchanh_04B_Result.pdf. (Tiết 40)</w:t>
      </w:r>
    </w:p>
    <w:p/>
    <w:p>
      <w:r>
        <w:rPr>
          <w:i/>
        </w:rPr>
        <w:t>Tệp đi kèm: Data_Baithuchanh_04B.docx (văn bản gốc), Baithuchanh_04B_Result.pdf (kết quả mẫu). Đề cương MO-110: https://learn.microsoft.com/en-us/credentials/certifications/exams/mo-110/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cs="Times New Roman" w:eastAsia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